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62" w:rsidRDefault="00455F62">
      <w:bookmarkStart w:id="0" w:name="_GoBack"/>
      <w:bookmarkEnd w:id="0"/>
    </w:p>
    <w:tbl>
      <w:tblPr>
        <w:tblW w:w="9533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2"/>
        <w:gridCol w:w="4821"/>
      </w:tblGrid>
      <w:tr w:rsidR="00455F62" w:rsidRPr="00A64E6A" w:rsidTr="00A64E6A">
        <w:trPr>
          <w:trHeight w:val="1012"/>
          <w:jc w:val="center"/>
        </w:trPr>
        <w:tc>
          <w:tcPr>
            <w:tcW w:w="4712" w:type="dxa"/>
            <w:shd w:val="clear" w:color="auto" w:fill="DAEEF3"/>
            <w:noWrap/>
            <w:vAlign w:val="center"/>
          </w:tcPr>
          <w:p w:rsidR="00455F62" w:rsidRPr="00A64E6A" w:rsidRDefault="00455F62" w:rsidP="00A64E6A">
            <w:pPr>
              <w:spacing w:after="0" w:line="240" w:lineRule="auto"/>
              <w:jc w:val="center"/>
              <w:rPr>
                <w:b/>
                <w:color w:val="17365D"/>
                <w:sz w:val="36"/>
                <w:szCs w:val="36"/>
              </w:rPr>
            </w:pPr>
            <w:r w:rsidRPr="00A64E6A">
              <w:rPr>
                <w:b/>
                <w:color w:val="17365D"/>
                <w:sz w:val="36"/>
                <w:szCs w:val="36"/>
              </w:rPr>
              <w:t>RE-PAS</w:t>
            </w:r>
          </w:p>
          <w:p w:rsidR="00455F62" w:rsidRPr="00A64E6A" w:rsidRDefault="00455F62" w:rsidP="00A64E6A">
            <w:pPr>
              <w:spacing w:after="0" w:line="240" w:lineRule="auto"/>
              <w:jc w:val="center"/>
              <w:rPr>
                <w:b/>
                <w:color w:val="17365D"/>
                <w:sz w:val="36"/>
                <w:szCs w:val="38"/>
              </w:rPr>
            </w:pPr>
            <w:r w:rsidRPr="00A64E6A">
              <w:rPr>
                <w:b/>
                <w:color w:val="17365D"/>
                <w:sz w:val="36"/>
                <w:szCs w:val="36"/>
              </w:rPr>
              <w:t>základné informácie</w:t>
            </w:r>
          </w:p>
        </w:tc>
        <w:tc>
          <w:tcPr>
            <w:tcW w:w="4821" w:type="dxa"/>
            <w:shd w:val="clear" w:color="auto" w:fill="B6DDE8"/>
            <w:vAlign w:val="center"/>
          </w:tcPr>
          <w:p w:rsidR="00455F62" w:rsidRPr="00A64E6A" w:rsidRDefault="00455F62" w:rsidP="00A64E6A">
            <w:pPr>
              <w:spacing w:after="0" w:line="240" w:lineRule="auto"/>
              <w:jc w:val="center"/>
            </w:pPr>
            <w:r w:rsidRPr="00A64E6A">
              <w:rPr>
                <w:rFonts w:ascii="Book Antiqua" w:hAnsi="Book Antiqua" w:cs="Arial"/>
                <w:noProof/>
                <w:sz w:val="20"/>
                <w:szCs w:val="20"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7" o:spid="_x0000_i1025" type="#_x0000_t75" style="width:194.25pt;height:53.25pt;visibility:visible">
                  <v:imagedata r:id="rId7" o:title=""/>
                </v:shape>
              </w:pict>
            </w:r>
          </w:p>
        </w:tc>
      </w:tr>
      <w:tr w:rsidR="00455F62" w:rsidRPr="00A64E6A" w:rsidTr="00A64E6A">
        <w:trPr>
          <w:trHeight w:val="154"/>
          <w:jc w:val="center"/>
        </w:trPr>
        <w:tc>
          <w:tcPr>
            <w:tcW w:w="9533" w:type="dxa"/>
            <w:gridSpan w:val="2"/>
            <w:shd w:val="clear" w:color="auto" w:fill="DAEEF3"/>
            <w:noWrap/>
            <w:vAlign w:val="center"/>
          </w:tcPr>
          <w:p w:rsidR="00455F62" w:rsidRPr="00A64E6A" w:rsidRDefault="00455F62" w:rsidP="00A64E6A">
            <w:pPr>
              <w:spacing w:after="0" w:line="264" w:lineRule="auto"/>
              <w:jc w:val="center"/>
              <w:rPr>
                <w:rFonts w:ascii="Book Antiqua" w:hAnsi="Book Antiqua" w:cs="Arial"/>
                <w:noProof/>
                <w:sz w:val="20"/>
                <w:szCs w:val="20"/>
                <w:lang w:eastAsia="sk-SK"/>
              </w:rPr>
            </w:pPr>
            <w:r w:rsidRPr="00A64E6A">
              <w:rPr>
                <w:b/>
                <w:color w:val="17365D"/>
                <w:szCs w:val="24"/>
              </w:rPr>
              <w:t>„RE-PAS – rekvalifikácia ako príležitosť k spolupráci uchádzačov o zamestnanie, úradov práce, sociálnych vecí a rodiny a vzdelávacích inštitúcií“ s cieľom zvýšiť predpoklady uchádzačov o zamestnanie na uplatnenie sa na trhu práce.</w:t>
            </w:r>
          </w:p>
        </w:tc>
      </w:tr>
      <w:tr w:rsidR="00455F62" w:rsidRPr="00A64E6A" w:rsidTr="00A64E6A">
        <w:trPr>
          <w:trHeight w:val="154"/>
          <w:jc w:val="center"/>
        </w:trPr>
        <w:tc>
          <w:tcPr>
            <w:tcW w:w="9533" w:type="dxa"/>
            <w:gridSpan w:val="2"/>
            <w:shd w:val="clear" w:color="auto" w:fill="FFFFFF"/>
            <w:noWrap/>
            <w:vAlign w:val="center"/>
          </w:tcPr>
          <w:p w:rsidR="00455F62" w:rsidRPr="00A64E6A" w:rsidRDefault="00455F62" w:rsidP="00A64E6A">
            <w:pPr>
              <w:spacing w:after="0" w:line="264" w:lineRule="auto"/>
              <w:jc w:val="both"/>
              <w:rPr>
                <w:bCs/>
                <w:color w:val="FF0000"/>
                <w:sz w:val="19"/>
                <w:szCs w:val="19"/>
              </w:rPr>
            </w:pPr>
            <w:r w:rsidRPr="00A64E6A">
              <w:rPr>
                <w:b/>
                <w:bCs/>
                <w:color w:val="FF0000"/>
                <w:sz w:val="19"/>
                <w:szCs w:val="19"/>
              </w:rPr>
              <w:t>Rekvalifikácia</w:t>
            </w:r>
            <w:r w:rsidRPr="00A64E6A">
              <w:rPr>
                <w:bCs/>
                <w:color w:val="FF0000"/>
                <w:sz w:val="19"/>
                <w:szCs w:val="19"/>
              </w:rPr>
              <w:t xml:space="preserve"> </w:t>
            </w:r>
            <w:r w:rsidRPr="00A64E6A">
              <w:rPr>
                <w:b/>
                <w:bCs/>
                <w:color w:val="FF0000"/>
                <w:sz w:val="19"/>
                <w:szCs w:val="19"/>
              </w:rPr>
              <w:t>je príprava uchádzača o zamestnanie na uplatnenie sa na trhu práce s  cieľom nadobudnutia vedomostí, schopností a zručností vo vzdelávacom (rekvalifikačnom) kurze</w:t>
            </w:r>
            <w:r w:rsidRPr="00A64E6A">
              <w:rPr>
                <w:bCs/>
                <w:color w:val="FF0000"/>
                <w:sz w:val="19"/>
                <w:szCs w:val="19"/>
              </w:rPr>
              <w:t xml:space="preserve">, ktorý zrealizuje poskytovateľ rekvalifikácie, ktorého si vybral uchádzač o zamestnanie. Úrad práce, sociálnych vecí a rodiny pre uchádzača o zamestnanie rekvalifikáciu nevyhľadáva a ani nezabezpečuje komunikáciu s poskytovateľom rekvalifikácie.  </w:t>
            </w:r>
          </w:p>
          <w:p w:rsidR="00455F62" w:rsidRPr="00A64E6A" w:rsidRDefault="00455F62" w:rsidP="00A64E6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17365D"/>
                <w:sz w:val="19"/>
                <w:szCs w:val="19"/>
              </w:rPr>
            </w:pPr>
            <w:r w:rsidRPr="00A64E6A">
              <w:rPr>
                <w:b/>
                <w:bCs/>
                <w:color w:val="17365D"/>
                <w:sz w:val="19"/>
                <w:szCs w:val="19"/>
              </w:rPr>
              <w:t xml:space="preserve">RE-PAS je potvrdením, že úrad práce, sociálnych vecí a rodiny poskytne </w:t>
            </w:r>
            <w:r w:rsidRPr="00A64E6A">
              <w:rPr>
                <w:b/>
                <w:color w:val="17365D"/>
                <w:sz w:val="19"/>
                <w:szCs w:val="19"/>
              </w:rPr>
              <w:t>uchádzačovi o zamestnanie</w:t>
            </w:r>
            <w:r w:rsidRPr="00A64E6A">
              <w:rPr>
                <w:b/>
                <w:bCs/>
                <w:color w:val="17365D"/>
                <w:sz w:val="19"/>
                <w:szCs w:val="19"/>
              </w:rPr>
              <w:t xml:space="preserve"> príspevok na rekvalifikáciu, ktorú zrealizuje poskytovateľ rekvalifikácie.</w:t>
            </w:r>
          </w:p>
          <w:p w:rsidR="00455F62" w:rsidRPr="00A64E6A" w:rsidRDefault="00455F62" w:rsidP="00A64E6A">
            <w:pPr>
              <w:spacing w:after="0" w:line="264" w:lineRule="auto"/>
              <w:jc w:val="both"/>
              <w:rPr>
                <w:bCs/>
                <w:color w:val="17365D"/>
                <w:sz w:val="19"/>
                <w:szCs w:val="19"/>
              </w:rPr>
            </w:pPr>
            <w:r w:rsidRPr="00A64E6A">
              <w:rPr>
                <w:bCs/>
                <w:color w:val="17365D"/>
                <w:sz w:val="19"/>
                <w:szCs w:val="19"/>
              </w:rPr>
              <w:t xml:space="preserve">Rekvalifikáciu je možné absolvovať len na území Slovenskej republiky. Poskytovateľ rekvalifikácie bude akceptovaný len v prípade, ak preukáže, že má vydanú akreditáciu/osvedčenie/oprávnenie na vzdelávací program v zmysle legislatívy platnej na území SR alebo má vydané súhlasné stanovisko sektorovej rady alebo stavovskej organizácie alebo profesijnej  organizácie. </w:t>
            </w:r>
          </w:p>
          <w:p w:rsidR="00455F62" w:rsidRPr="00A64E6A" w:rsidRDefault="00455F62" w:rsidP="00A64E6A">
            <w:pPr>
              <w:spacing w:after="0" w:line="264" w:lineRule="auto"/>
              <w:jc w:val="both"/>
              <w:rPr>
                <w:bCs/>
                <w:color w:val="17365D"/>
                <w:sz w:val="18"/>
                <w:szCs w:val="19"/>
              </w:rPr>
            </w:pPr>
            <w:r w:rsidRPr="00A64E6A">
              <w:rPr>
                <w:bCs/>
                <w:color w:val="17365D"/>
                <w:sz w:val="19"/>
                <w:szCs w:val="19"/>
              </w:rPr>
              <w:t>Akreditácia/osvedčenie/oprávnenie/súhlasné stanovisko sektorovej rady alebo stavovskej organizácie alebo profesijnej  organizácie sa nevyžaduje v prípade realizovania vzdelávacieho (rekvalifikačného) kurzu zameraného na rozvoj komunikačných, počítačových, manažérskych, sociálnych, podnikateľských, jazykových kompetencií a na získanie praktických skúseností</w:t>
            </w:r>
            <w:r w:rsidRPr="00A64E6A">
              <w:rPr>
                <w:bCs/>
                <w:color w:val="17365D"/>
                <w:sz w:val="18"/>
                <w:szCs w:val="19"/>
              </w:rPr>
              <w:t xml:space="preserve">. </w:t>
            </w:r>
          </w:p>
          <w:p w:rsidR="00455F62" w:rsidRPr="00A64E6A" w:rsidRDefault="00455F62" w:rsidP="00A64E6A">
            <w:pPr>
              <w:spacing w:after="0" w:line="264" w:lineRule="auto"/>
              <w:jc w:val="both"/>
              <w:rPr>
                <w:color w:val="002060"/>
                <w:sz w:val="24"/>
                <w:szCs w:val="20"/>
              </w:rPr>
            </w:pPr>
            <w:r w:rsidRPr="00A64E6A">
              <w:rPr>
                <w:bCs/>
                <w:color w:val="17365D"/>
                <w:sz w:val="18"/>
                <w:szCs w:val="19"/>
              </w:rPr>
              <w:t xml:space="preserve">Pri vzdelávacích (rekvalifikačných) kurzoch, na ktoré sa nevyžaduje akreditácia/osvedčenie/oprávnenie/súhlasné stanovisko </w:t>
            </w:r>
            <w:r w:rsidRPr="00A64E6A">
              <w:rPr>
                <w:bCs/>
                <w:color w:val="17365D"/>
                <w:sz w:val="18"/>
                <w:szCs w:val="18"/>
              </w:rPr>
              <w:t>sektorovej rady alebo stavovskej organizácie alebo profesijnej  organizácie</w:t>
            </w:r>
            <w:r w:rsidRPr="00A64E6A">
              <w:rPr>
                <w:bCs/>
                <w:color w:val="17365D"/>
                <w:sz w:val="18"/>
                <w:szCs w:val="19"/>
              </w:rPr>
              <w:t>, bude poskytovateľ rekvalifikácie akceptovaný len v prípade, ak preukáže, že má oprávnenie na vykonávanie vzdelávania dospelých alebo obdobných služieb, ktoré vzdelávanie uchádzača o zamestnanie zahŕňajú, vydaným v zmysle  osobitných predpisov (napr. zákon č. 455/1991 Zb. Živnostenský zákon v znení neskorších predpisov).</w:t>
            </w:r>
          </w:p>
        </w:tc>
      </w:tr>
      <w:tr w:rsidR="00455F62" w:rsidRPr="00A64E6A" w:rsidTr="00A64E6A">
        <w:trPr>
          <w:trHeight w:val="114"/>
          <w:jc w:val="center"/>
        </w:trPr>
        <w:tc>
          <w:tcPr>
            <w:tcW w:w="9533" w:type="dxa"/>
            <w:gridSpan w:val="2"/>
            <w:noWrap/>
            <w:vAlign w:val="center"/>
          </w:tcPr>
          <w:p w:rsidR="00455F62" w:rsidRPr="00A64E6A" w:rsidRDefault="00455F62" w:rsidP="00A64E6A">
            <w:pPr>
              <w:spacing w:after="0" w:line="264" w:lineRule="auto"/>
              <w:jc w:val="both"/>
              <w:rPr>
                <w:b/>
                <w:color w:val="365F91"/>
                <w:sz w:val="19"/>
                <w:szCs w:val="19"/>
              </w:rPr>
            </w:pPr>
            <w:r w:rsidRPr="00A64E6A">
              <w:rPr>
                <w:b/>
                <w:color w:val="365F91"/>
                <w:sz w:val="19"/>
                <w:szCs w:val="19"/>
              </w:rPr>
              <w:t>RE-PAS umožňuje uchádzačom o zamestnanie evidovaným na úrade práce, sociálnych vecí a rodiny: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24"/>
              </w:numPr>
              <w:spacing w:after="0" w:line="264" w:lineRule="auto"/>
              <w:jc w:val="both"/>
              <w:rPr>
                <w:color w:val="365F91"/>
                <w:sz w:val="19"/>
                <w:szCs w:val="19"/>
              </w:rPr>
            </w:pPr>
            <w:r w:rsidRPr="00A64E6A">
              <w:rPr>
                <w:b/>
                <w:color w:val="365F91"/>
                <w:sz w:val="19"/>
                <w:szCs w:val="19"/>
              </w:rPr>
              <w:t xml:space="preserve">rozšíriť alebo úplne zmeniť svoje profesijné zameranie </w:t>
            </w:r>
            <w:r w:rsidRPr="00A64E6A">
              <w:rPr>
                <w:color w:val="365F91"/>
                <w:sz w:val="19"/>
                <w:szCs w:val="19"/>
              </w:rPr>
              <w:t>prostredníctvom absolvovania rekvalifikácie,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24"/>
              </w:numPr>
              <w:spacing w:after="0" w:line="264" w:lineRule="auto"/>
              <w:jc w:val="both"/>
              <w:rPr>
                <w:color w:val="365F91"/>
                <w:sz w:val="19"/>
                <w:szCs w:val="19"/>
              </w:rPr>
            </w:pPr>
            <w:r w:rsidRPr="00A64E6A">
              <w:rPr>
                <w:b/>
                <w:color w:val="365F91"/>
                <w:sz w:val="19"/>
                <w:szCs w:val="19"/>
              </w:rPr>
              <w:t xml:space="preserve">zvoliť si rekvalifikáciu a poskytovateľa rekvalifikácie </w:t>
            </w:r>
            <w:r w:rsidRPr="00A64E6A">
              <w:rPr>
                <w:color w:val="365F91"/>
                <w:sz w:val="19"/>
                <w:szCs w:val="19"/>
              </w:rPr>
              <w:t>podľa vlastného výberu,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24"/>
              </w:numPr>
              <w:spacing w:after="0" w:line="264" w:lineRule="auto"/>
              <w:jc w:val="both"/>
              <w:rPr>
                <w:sz w:val="24"/>
                <w:szCs w:val="20"/>
              </w:rPr>
            </w:pPr>
            <w:r w:rsidRPr="00A64E6A">
              <w:rPr>
                <w:color w:val="365F91"/>
                <w:sz w:val="19"/>
                <w:szCs w:val="19"/>
              </w:rPr>
              <w:t>požiadať úrad práce, sociálnych vecí a rodiny o</w:t>
            </w:r>
            <w:r w:rsidRPr="00A64E6A">
              <w:rPr>
                <w:b/>
                <w:color w:val="365F91"/>
                <w:sz w:val="19"/>
                <w:szCs w:val="19"/>
              </w:rPr>
              <w:t> poskytnutie príspevku na rekvalifikáciu.</w:t>
            </w:r>
          </w:p>
        </w:tc>
      </w:tr>
      <w:tr w:rsidR="00455F62" w:rsidRPr="00A64E6A" w:rsidTr="00A64E6A">
        <w:trPr>
          <w:trHeight w:val="525"/>
          <w:jc w:val="center"/>
        </w:trPr>
        <w:tc>
          <w:tcPr>
            <w:tcW w:w="9533" w:type="dxa"/>
            <w:gridSpan w:val="2"/>
            <w:shd w:val="clear" w:color="auto" w:fill="B6DDE8"/>
            <w:noWrap/>
            <w:vAlign w:val="center"/>
          </w:tcPr>
          <w:p w:rsidR="00455F62" w:rsidRPr="00A64E6A" w:rsidRDefault="00455F62" w:rsidP="00A64E6A">
            <w:pPr>
              <w:spacing w:after="0" w:line="240" w:lineRule="auto"/>
              <w:jc w:val="center"/>
              <w:rPr>
                <w:b/>
                <w:color w:val="17365D"/>
                <w:sz w:val="26"/>
                <w:szCs w:val="26"/>
              </w:rPr>
            </w:pPr>
            <w:r w:rsidRPr="00A64E6A">
              <w:rPr>
                <w:b/>
                <w:color w:val="17365D"/>
                <w:sz w:val="26"/>
                <w:szCs w:val="26"/>
              </w:rPr>
              <w:t>Informácie pre uchádzača o zamestnanie k možnosti získať príspevok na rekvalifikáciu</w:t>
            </w:r>
          </w:p>
        </w:tc>
      </w:tr>
      <w:tr w:rsidR="00455F62" w:rsidRPr="00A64E6A" w:rsidTr="00A64E6A">
        <w:trPr>
          <w:trHeight w:val="347"/>
          <w:jc w:val="center"/>
        </w:trPr>
        <w:tc>
          <w:tcPr>
            <w:tcW w:w="9533" w:type="dxa"/>
            <w:gridSpan w:val="2"/>
            <w:shd w:val="clear" w:color="auto" w:fill="DAEEF3"/>
            <w:noWrap/>
            <w:vAlign w:val="center"/>
          </w:tcPr>
          <w:p w:rsidR="00455F62" w:rsidRPr="00A64E6A" w:rsidRDefault="00455F62" w:rsidP="00A64E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64E6A">
              <w:rPr>
                <w:b/>
                <w:color w:val="17365D"/>
                <w:sz w:val="26"/>
                <w:szCs w:val="26"/>
              </w:rPr>
              <w:t>Pred rekvalifikáciou</w:t>
            </w:r>
          </w:p>
        </w:tc>
      </w:tr>
      <w:tr w:rsidR="00455F62" w:rsidRPr="00A64E6A" w:rsidTr="00A64E6A">
        <w:trPr>
          <w:trHeight w:val="114"/>
          <w:jc w:val="center"/>
        </w:trPr>
        <w:tc>
          <w:tcPr>
            <w:tcW w:w="9533" w:type="dxa"/>
            <w:gridSpan w:val="2"/>
            <w:noWrap/>
            <w:vAlign w:val="center"/>
          </w:tcPr>
          <w:p w:rsidR="00455F62" w:rsidRPr="00A64E6A" w:rsidRDefault="00455F62" w:rsidP="00A64E6A">
            <w:pPr>
              <w:pStyle w:val="ListParagraph"/>
              <w:numPr>
                <w:ilvl w:val="0"/>
                <w:numId w:val="15"/>
              </w:numPr>
              <w:spacing w:after="0" w:line="264" w:lineRule="auto"/>
              <w:ind w:left="360"/>
              <w:jc w:val="both"/>
              <w:rPr>
                <w:b/>
                <w:color w:val="FF0000"/>
                <w:sz w:val="19"/>
                <w:szCs w:val="19"/>
              </w:rPr>
            </w:pPr>
            <w:r w:rsidRPr="00A64E6A">
              <w:rPr>
                <w:b/>
                <w:color w:val="FF0000"/>
                <w:sz w:val="19"/>
                <w:szCs w:val="19"/>
              </w:rPr>
              <w:t>Uchádzač o zamestnanie si vyberie rekvalifikačný kurz</w:t>
            </w:r>
            <w:r w:rsidRPr="00A64E6A">
              <w:rPr>
                <w:color w:val="FF0000"/>
                <w:sz w:val="19"/>
                <w:szCs w:val="19"/>
              </w:rPr>
              <w:t>, o ktorý má záujem. Nárok na príspevok na rekvalifikáciu má iba ten uchádzač o zamestnanie, ktorému za posledných 5 rokov nebol uhradený cez úrad práce, sociálnych vecí a rodiny príspevok na rekvalifikáciu alebo  vzdelávanie s tým istým alebo veľmi podobným zameraním, o ktoré má teraz záujem.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5"/>
              </w:numPr>
              <w:spacing w:after="0" w:line="264" w:lineRule="auto"/>
              <w:ind w:left="360"/>
              <w:jc w:val="both"/>
              <w:rPr>
                <w:b/>
                <w:color w:val="17365D"/>
                <w:sz w:val="19"/>
                <w:szCs w:val="19"/>
              </w:rPr>
            </w:pPr>
            <w:r w:rsidRPr="00A64E6A">
              <w:rPr>
                <w:color w:val="17365D"/>
                <w:sz w:val="19"/>
                <w:szCs w:val="19"/>
              </w:rPr>
              <w:t xml:space="preserve">Uchádzač o zamestnanie môže </w:t>
            </w:r>
            <w:r w:rsidRPr="00A64E6A">
              <w:rPr>
                <w:b/>
                <w:color w:val="17365D"/>
                <w:sz w:val="19"/>
                <w:szCs w:val="19"/>
              </w:rPr>
              <w:t>v procese výberu rekvalifikácie osloviť viacerých poskytovateľov rekvalifikácie</w:t>
            </w:r>
            <w:r w:rsidRPr="00A64E6A">
              <w:rPr>
                <w:color w:val="17365D"/>
                <w:sz w:val="19"/>
                <w:szCs w:val="19"/>
              </w:rPr>
              <w:t xml:space="preserve"> a </w:t>
            </w:r>
            <w:r w:rsidRPr="00A64E6A">
              <w:rPr>
                <w:b/>
                <w:color w:val="17365D"/>
                <w:sz w:val="19"/>
                <w:szCs w:val="19"/>
              </w:rPr>
              <w:t>zistiť si základné informácie o ponúkaných rekvalifikáciách</w:t>
            </w:r>
            <w:r w:rsidRPr="00A64E6A">
              <w:rPr>
                <w:color w:val="17365D"/>
                <w:sz w:val="19"/>
                <w:szCs w:val="19"/>
              </w:rPr>
              <w:t xml:space="preserve"> – napr. či  poskytovateľ ponúka požadovaný typ rekvalifikácie, cenu rekvalifikácie, rozsah a obsah  rekvalifikácie, predpokladaný termín rekvalifikácie atď.). Na základe zistených informácií si </w:t>
            </w:r>
            <w:r w:rsidRPr="00A64E6A">
              <w:rPr>
                <w:b/>
                <w:color w:val="17365D"/>
                <w:sz w:val="19"/>
                <w:szCs w:val="19"/>
              </w:rPr>
              <w:t>uchádzač o zamestnanie sám vyberie konkrétneho poskytovateľa rekvalifikácie, ktorý realizuje rekvalifikáciu, ktorá vyhovuje požiadavkám uchádzača o zamestnanie.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5"/>
              </w:numPr>
              <w:spacing w:after="0" w:line="264" w:lineRule="auto"/>
              <w:ind w:left="360"/>
              <w:jc w:val="both"/>
              <w:rPr>
                <w:b/>
                <w:color w:val="FF0000"/>
                <w:sz w:val="19"/>
                <w:szCs w:val="19"/>
              </w:rPr>
            </w:pPr>
            <w:r w:rsidRPr="00A64E6A">
              <w:rPr>
                <w:color w:val="FF0000"/>
                <w:sz w:val="19"/>
                <w:szCs w:val="19"/>
              </w:rPr>
              <w:t xml:space="preserve">Následne si </w:t>
            </w:r>
            <w:r w:rsidRPr="00A64E6A">
              <w:rPr>
                <w:b/>
                <w:color w:val="FF0000"/>
                <w:sz w:val="19"/>
                <w:szCs w:val="19"/>
              </w:rPr>
              <w:t>uchádzač o zamestnanie podá na príslušnom úrade práce, sociálnych vecí a rodiny, kde je evidovaný, požiadavku na vybranú rekvalifikáciu na predpísanom formulári v dostatočnom časovom predstihu s ohľadom na predpokladaný začiatok rekvalifikácie.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5"/>
              </w:numPr>
              <w:spacing w:after="0" w:line="264" w:lineRule="auto"/>
              <w:ind w:left="360"/>
              <w:jc w:val="both"/>
              <w:rPr>
                <w:b/>
                <w:color w:val="17365D"/>
                <w:sz w:val="19"/>
                <w:szCs w:val="19"/>
              </w:rPr>
            </w:pPr>
            <w:r w:rsidRPr="00A64E6A">
              <w:rPr>
                <w:color w:val="17365D"/>
                <w:sz w:val="19"/>
                <w:szCs w:val="19"/>
              </w:rPr>
              <w:t>Požiadavka na vybranú rekvalifikáciu má dve hlavné časti: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601" w:hanging="241"/>
              <w:jc w:val="both"/>
              <w:rPr>
                <w:color w:val="17365D"/>
                <w:sz w:val="19"/>
                <w:szCs w:val="19"/>
              </w:rPr>
            </w:pPr>
            <w:r w:rsidRPr="00A64E6A">
              <w:rPr>
                <w:b/>
                <w:color w:val="17365D"/>
                <w:sz w:val="19"/>
                <w:szCs w:val="19"/>
              </w:rPr>
              <w:t>časť A</w:t>
            </w:r>
            <w:r w:rsidRPr="00A64E6A">
              <w:rPr>
                <w:color w:val="17365D"/>
                <w:sz w:val="19"/>
                <w:szCs w:val="19"/>
              </w:rPr>
              <w:t xml:space="preserve"> – </w:t>
            </w:r>
            <w:r w:rsidRPr="00A64E6A">
              <w:rPr>
                <w:b/>
                <w:color w:val="17365D"/>
                <w:sz w:val="19"/>
                <w:szCs w:val="19"/>
              </w:rPr>
              <w:t>Požiadavka uchádzača o zamestnanie na rekvalifikáciu</w:t>
            </w:r>
            <w:r w:rsidRPr="00A64E6A">
              <w:rPr>
                <w:color w:val="17365D"/>
                <w:sz w:val="19"/>
                <w:szCs w:val="19"/>
              </w:rPr>
              <w:t>, ktorú vyplní uchádzač o zamestnanie,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601" w:hanging="241"/>
              <w:jc w:val="both"/>
              <w:rPr>
                <w:color w:val="17365D"/>
                <w:sz w:val="19"/>
                <w:szCs w:val="19"/>
              </w:rPr>
            </w:pPr>
            <w:r w:rsidRPr="00A64E6A">
              <w:rPr>
                <w:b/>
                <w:color w:val="17365D"/>
                <w:sz w:val="19"/>
                <w:szCs w:val="19"/>
              </w:rPr>
              <w:t>časť B</w:t>
            </w:r>
            <w:r w:rsidRPr="00A64E6A">
              <w:rPr>
                <w:color w:val="17365D"/>
                <w:sz w:val="19"/>
                <w:szCs w:val="19"/>
              </w:rPr>
              <w:t xml:space="preserve"> – </w:t>
            </w:r>
            <w:r w:rsidRPr="00A64E6A">
              <w:rPr>
                <w:b/>
                <w:color w:val="17365D"/>
                <w:sz w:val="19"/>
                <w:szCs w:val="19"/>
              </w:rPr>
              <w:t>Potvrdenie poskytovateľa požadovanej rekvalifikácie</w:t>
            </w:r>
            <w:r w:rsidRPr="00A64E6A">
              <w:rPr>
                <w:color w:val="17365D"/>
                <w:sz w:val="19"/>
                <w:szCs w:val="19"/>
              </w:rPr>
              <w:t>, ktoré na žiadosť uchádzača o zamestnanie vyplní a potvrdí vybraný poskytovateľ rekvalifikácie,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601" w:hanging="241"/>
              <w:jc w:val="both"/>
              <w:rPr>
                <w:color w:val="17365D"/>
                <w:sz w:val="19"/>
                <w:szCs w:val="19"/>
              </w:rPr>
            </w:pPr>
            <w:r w:rsidRPr="00A64E6A">
              <w:rPr>
                <w:color w:val="17365D"/>
                <w:sz w:val="19"/>
                <w:szCs w:val="19"/>
              </w:rPr>
              <w:t xml:space="preserve">súčasťou požiadavky je </w:t>
            </w:r>
            <w:r w:rsidRPr="00A64E6A">
              <w:rPr>
                <w:b/>
                <w:color w:val="17365D"/>
                <w:sz w:val="19"/>
                <w:szCs w:val="19"/>
              </w:rPr>
              <w:t xml:space="preserve">príloha „Vyhlásenie“, </w:t>
            </w:r>
            <w:r w:rsidRPr="00A64E6A">
              <w:rPr>
                <w:color w:val="17365D"/>
                <w:sz w:val="19"/>
                <w:szCs w:val="19"/>
              </w:rPr>
              <w:t>ktorú vyplní uchádzač o zamestnanie.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5"/>
              </w:numPr>
              <w:spacing w:after="0" w:line="264" w:lineRule="auto"/>
              <w:ind w:left="360"/>
              <w:jc w:val="both"/>
              <w:rPr>
                <w:color w:val="FF0000"/>
                <w:sz w:val="19"/>
                <w:szCs w:val="19"/>
              </w:rPr>
            </w:pPr>
            <w:r w:rsidRPr="00A64E6A">
              <w:rPr>
                <w:color w:val="FF0000"/>
                <w:sz w:val="19"/>
                <w:szCs w:val="19"/>
              </w:rPr>
              <w:t xml:space="preserve">Keďže na príspevok na rekvalifikáciu nie je právny nárok, </w:t>
            </w:r>
            <w:r w:rsidRPr="00A64E6A">
              <w:rPr>
                <w:b/>
                <w:color w:val="FF0000"/>
                <w:sz w:val="19"/>
                <w:szCs w:val="19"/>
              </w:rPr>
              <w:t>úrad práce, sociálnych vecí a rodiny požiadavku na rekvalifikáciu zhodnotí</w:t>
            </w:r>
            <w:r w:rsidRPr="00A64E6A">
              <w:rPr>
                <w:color w:val="FF0000"/>
                <w:sz w:val="19"/>
                <w:szCs w:val="19"/>
              </w:rPr>
              <w:t xml:space="preserve"> a </w:t>
            </w:r>
            <w:r w:rsidRPr="00A64E6A">
              <w:rPr>
                <w:b/>
                <w:color w:val="FF0000"/>
                <w:sz w:val="19"/>
                <w:szCs w:val="19"/>
              </w:rPr>
              <w:t xml:space="preserve">schváli alebo neschváli ju. </w:t>
            </w:r>
            <w:r w:rsidRPr="00A64E6A">
              <w:rPr>
                <w:b/>
                <w:bCs/>
                <w:color w:val="FF0000"/>
                <w:sz w:val="19"/>
                <w:szCs w:val="19"/>
              </w:rPr>
              <w:t>Každá požiadavka je posudzovaná individuálne s ohľadom na dodržanie stanovených podmienok a s prihliadnutím na regionálny a finančný aspekt.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5"/>
              </w:numPr>
              <w:spacing w:after="0" w:line="264" w:lineRule="auto"/>
              <w:ind w:left="360"/>
              <w:jc w:val="both"/>
              <w:rPr>
                <w:color w:val="FF0000"/>
                <w:sz w:val="19"/>
                <w:szCs w:val="19"/>
              </w:rPr>
            </w:pPr>
            <w:r w:rsidRPr="00A64E6A">
              <w:rPr>
                <w:color w:val="FF0000"/>
                <w:sz w:val="19"/>
                <w:szCs w:val="19"/>
              </w:rPr>
              <w:t>Úrad práce, sociálnych vecí a rodiny nepodporuje vzdelávacie (rekvalifikačné) kurzy zamerané na špecializované manažérske kompetencie a projektové riadenie, rozvoj komunikačných a sociálnych zručností, vodičské oprávnenie typu B a vzdelávacie (rekvalifikačné) kurzy realizované dištančnou formou. Úrad práce, sociálnych vecí a rodiny taktiež nepodporí absolvovanie rekvalifikácie u uchádzačov o zamestnanie, ktorí sú zároveň študentmi vysokej školy formou externého štúdia.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5"/>
              </w:numPr>
              <w:spacing w:after="0" w:line="264" w:lineRule="auto"/>
              <w:ind w:left="360"/>
              <w:jc w:val="both"/>
              <w:rPr>
                <w:color w:val="17365D"/>
                <w:sz w:val="19"/>
                <w:szCs w:val="19"/>
              </w:rPr>
            </w:pPr>
            <w:r w:rsidRPr="00A64E6A">
              <w:rPr>
                <w:color w:val="17365D"/>
                <w:sz w:val="19"/>
                <w:szCs w:val="19"/>
              </w:rPr>
              <w:t xml:space="preserve">Ak úrad práce, sociálnych vecí a rodiny požiadavku na rekvalifikáciu </w:t>
            </w:r>
            <w:r w:rsidRPr="00A64E6A">
              <w:rPr>
                <w:b/>
                <w:color w:val="17365D"/>
                <w:sz w:val="19"/>
                <w:szCs w:val="19"/>
              </w:rPr>
              <w:t>schváli, uzatvorí s uchádzačom o zamestnanie dohodu o poskytnutí príspevku na rekvalifikáciu a vystaví RE-PAS,</w:t>
            </w:r>
            <w:r w:rsidRPr="00A64E6A">
              <w:rPr>
                <w:color w:val="17365D"/>
                <w:sz w:val="19"/>
                <w:szCs w:val="19"/>
              </w:rPr>
              <w:t xml:space="preserve"> ktorý je </w:t>
            </w:r>
            <w:r w:rsidRPr="00A64E6A">
              <w:rPr>
                <w:b/>
                <w:color w:val="17365D"/>
                <w:sz w:val="19"/>
                <w:szCs w:val="19"/>
              </w:rPr>
              <w:t xml:space="preserve">potvrdením, že po splnení všetkých podmienok úrad práce, sociálnych vecí a rodiny uhradí uchádzačovi o zamestnanie príspevok na rekvalifikáciu v hodnote kurzovného </w:t>
            </w:r>
            <w:r w:rsidRPr="00A64E6A">
              <w:rPr>
                <w:color w:val="17365D"/>
                <w:sz w:val="19"/>
                <w:szCs w:val="19"/>
              </w:rPr>
              <w:t>uvedeného v potvrdení poskytovateľa rekvalifikácie. Súčasťou príspevku na rekvalifikáciu nie je úhrada výdavkov na cestovné, stravovanie a ubytovanie uchádzača o zamestnanie v zmysle zákona č. 283/2002 Z. z. o cestovných náhradách v znení neskorších predpisov, ani žiadne ďalšie výdavky vynaložené uchádzačom na rekvalifikáciu.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5"/>
              </w:numPr>
              <w:spacing w:after="0" w:line="264" w:lineRule="auto"/>
              <w:ind w:left="360"/>
              <w:jc w:val="both"/>
              <w:rPr>
                <w:color w:val="FF0000"/>
                <w:sz w:val="19"/>
                <w:szCs w:val="19"/>
              </w:rPr>
            </w:pPr>
            <w:r w:rsidRPr="00A64E6A">
              <w:rPr>
                <w:b/>
                <w:color w:val="FF0000"/>
                <w:sz w:val="19"/>
                <w:szCs w:val="19"/>
              </w:rPr>
              <w:t>Bez uzatvorenia dohody o poskytnutí príspevku na rekvalifikáciu nie je možné príspevok na rekvalifikáciu uchádzačovi o zamestnanie poskytnúť.</w:t>
            </w:r>
          </w:p>
        </w:tc>
      </w:tr>
      <w:tr w:rsidR="00455F62" w:rsidRPr="00A64E6A" w:rsidTr="00A64E6A">
        <w:trPr>
          <w:trHeight w:val="258"/>
          <w:jc w:val="center"/>
        </w:trPr>
        <w:tc>
          <w:tcPr>
            <w:tcW w:w="9533" w:type="dxa"/>
            <w:gridSpan w:val="2"/>
            <w:shd w:val="clear" w:color="auto" w:fill="DAEEF3"/>
            <w:noWrap/>
            <w:vAlign w:val="center"/>
          </w:tcPr>
          <w:p w:rsidR="00455F62" w:rsidRPr="00A64E6A" w:rsidRDefault="00455F62" w:rsidP="00A64E6A">
            <w:pPr>
              <w:spacing w:after="0" w:line="240" w:lineRule="auto"/>
              <w:ind w:left="353" w:hanging="353"/>
              <w:jc w:val="center"/>
              <w:rPr>
                <w:b/>
                <w:color w:val="000000"/>
                <w:sz w:val="24"/>
                <w:szCs w:val="20"/>
              </w:rPr>
            </w:pPr>
            <w:r w:rsidRPr="00A64E6A">
              <w:rPr>
                <w:b/>
                <w:color w:val="17365D"/>
                <w:sz w:val="26"/>
                <w:szCs w:val="26"/>
              </w:rPr>
              <w:t xml:space="preserve">Počas rekvalifikácie </w:t>
            </w:r>
          </w:p>
        </w:tc>
      </w:tr>
      <w:tr w:rsidR="00455F62" w:rsidRPr="00A64E6A" w:rsidTr="00A64E6A">
        <w:trPr>
          <w:trHeight w:val="153"/>
          <w:jc w:val="center"/>
        </w:trPr>
        <w:tc>
          <w:tcPr>
            <w:tcW w:w="9533" w:type="dxa"/>
            <w:gridSpan w:val="2"/>
            <w:shd w:val="clear" w:color="auto" w:fill="FFFFFF"/>
            <w:noWrap/>
            <w:vAlign w:val="center"/>
          </w:tcPr>
          <w:p w:rsidR="00455F62" w:rsidRPr="00A64E6A" w:rsidRDefault="00455F62" w:rsidP="00A64E6A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ind w:left="360"/>
              <w:jc w:val="both"/>
              <w:rPr>
                <w:b/>
                <w:color w:val="FF0000"/>
                <w:sz w:val="19"/>
                <w:szCs w:val="19"/>
              </w:rPr>
            </w:pPr>
            <w:r w:rsidRPr="00A64E6A">
              <w:rPr>
                <w:color w:val="FF0000"/>
                <w:sz w:val="19"/>
                <w:szCs w:val="19"/>
              </w:rPr>
              <w:t xml:space="preserve">Uchádzač o zamestnanie je povinný </w:t>
            </w:r>
            <w:r w:rsidRPr="00A64E6A">
              <w:rPr>
                <w:b/>
                <w:color w:val="FF0000"/>
                <w:sz w:val="19"/>
                <w:szCs w:val="19"/>
              </w:rPr>
              <w:t>nastúpiť na rekvalifikáciu v termíne, ktorý si dohodol s poskytovateľom rekvalifikácie.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ind w:left="360"/>
              <w:jc w:val="both"/>
              <w:rPr>
                <w:color w:val="17365D"/>
                <w:sz w:val="19"/>
                <w:szCs w:val="19"/>
              </w:rPr>
            </w:pPr>
            <w:r w:rsidRPr="00A64E6A">
              <w:rPr>
                <w:color w:val="17365D"/>
                <w:sz w:val="19"/>
                <w:szCs w:val="19"/>
              </w:rPr>
              <w:t>Ak rekvalifikácia nezačne do 60 kalendárnych dní od vystavenia potvrdenia poskytovateľa rekvalifikácie, RE-PAS stratí platnosť a úrad práce, sociálnych vecí a rodiny príspevok na rekvalifikáciu uchádzačovi o zamestnanie neposkytne.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5"/>
              </w:numPr>
              <w:spacing w:after="0" w:line="264" w:lineRule="auto"/>
              <w:ind w:left="360"/>
              <w:jc w:val="both"/>
              <w:rPr>
                <w:sz w:val="24"/>
                <w:szCs w:val="20"/>
              </w:rPr>
            </w:pPr>
            <w:r w:rsidRPr="00A64E6A">
              <w:rPr>
                <w:color w:val="FF0000"/>
                <w:sz w:val="19"/>
                <w:szCs w:val="19"/>
              </w:rPr>
              <w:t xml:space="preserve">Uchádzač o zamestnanie je povinný </w:t>
            </w:r>
            <w:r w:rsidRPr="00A64E6A">
              <w:rPr>
                <w:b/>
                <w:color w:val="FF0000"/>
                <w:sz w:val="19"/>
                <w:szCs w:val="19"/>
              </w:rPr>
              <w:t>úspešne absolvovať rekvalifikáciu v celom rozsahu</w:t>
            </w:r>
            <w:r w:rsidRPr="00A64E6A">
              <w:rPr>
                <w:color w:val="FF0000"/>
                <w:sz w:val="19"/>
                <w:szCs w:val="19"/>
              </w:rPr>
              <w:t>.</w:t>
            </w:r>
          </w:p>
        </w:tc>
      </w:tr>
      <w:tr w:rsidR="00455F62" w:rsidRPr="00A64E6A" w:rsidTr="00A64E6A">
        <w:trPr>
          <w:trHeight w:val="311"/>
          <w:jc w:val="center"/>
        </w:trPr>
        <w:tc>
          <w:tcPr>
            <w:tcW w:w="9533" w:type="dxa"/>
            <w:gridSpan w:val="2"/>
            <w:shd w:val="clear" w:color="auto" w:fill="DAEEF3"/>
            <w:noWrap/>
            <w:vAlign w:val="center"/>
          </w:tcPr>
          <w:p w:rsidR="00455F62" w:rsidRPr="00A64E6A" w:rsidRDefault="00455F62" w:rsidP="00A64E6A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A64E6A">
              <w:rPr>
                <w:b/>
                <w:color w:val="17365D"/>
                <w:sz w:val="26"/>
                <w:szCs w:val="26"/>
              </w:rPr>
              <w:t>Po rekvalifikácii</w:t>
            </w:r>
          </w:p>
        </w:tc>
      </w:tr>
      <w:tr w:rsidR="00455F62" w:rsidRPr="00A64E6A" w:rsidTr="00A64E6A">
        <w:trPr>
          <w:trHeight w:val="3757"/>
          <w:jc w:val="center"/>
        </w:trPr>
        <w:tc>
          <w:tcPr>
            <w:tcW w:w="9533" w:type="dxa"/>
            <w:gridSpan w:val="2"/>
            <w:shd w:val="clear" w:color="auto" w:fill="FFFFFF"/>
            <w:noWrap/>
            <w:vAlign w:val="center"/>
          </w:tcPr>
          <w:p w:rsidR="00455F62" w:rsidRPr="00A64E6A" w:rsidRDefault="00455F62" w:rsidP="00A64E6A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ind w:left="360"/>
              <w:jc w:val="both"/>
              <w:rPr>
                <w:color w:val="FF0000"/>
                <w:sz w:val="19"/>
                <w:szCs w:val="19"/>
              </w:rPr>
            </w:pPr>
            <w:r w:rsidRPr="00A64E6A">
              <w:rPr>
                <w:b/>
                <w:color w:val="FF0000"/>
                <w:sz w:val="19"/>
                <w:szCs w:val="19"/>
              </w:rPr>
              <w:t>Uchádzač o zamestnanie je povinný do 15 kalendárnych dní po úspešnom  ukončení rekvalifikácie doručiť do podateľne</w:t>
            </w:r>
            <w:r w:rsidRPr="00A64E6A">
              <w:rPr>
                <w:color w:val="FF0000"/>
                <w:sz w:val="19"/>
                <w:szCs w:val="19"/>
              </w:rPr>
              <w:t xml:space="preserve"> úradu práce, sociálnych vecí a rodiny alebo na oddelenie poradenstva a vzdelávania: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color w:val="FF0000"/>
                <w:sz w:val="19"/>
                <w:szCs w:val="19"/>
              </w:rPr>
            </w:pPr>
            <w:r w:rsidRPr="00A64E6A">
              <w:rPr>
                <w:b/>
                <w:color w:val="FF0000"/>
                <w:sz w:val="19"/>
                <w:szCs w:val="19"/>
              </w:rPr>
              <w:t>doklad preukazujúci absolvovanie rekvalifikácie</w:t>
            </w:r>
            <w:r w:rsidRPr="00A64E6A">
              <w:rPr>
                <w:color w:val="FF0000"/>
                <w:sz w:val="19"/>
                <w:szCs w:val="19"/>
              </w:rPr>
              <w:t>,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color w:val="FF0000"/>
                <w:sz w:val="19"/>
                <w:szCs w:val="19"/>
              </w:rPr>
            </w:pPr>
            <w:r w:rsidRPr="00A64E6A">
              <w:rPr>
                <w:b/>
                <w:color w:val="FF0000"/>
                <w:sz w:val="19"/>
                <w:szCs w:val="19"/>
              </w:rPr>
              <w:t>faktúru,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color w:val="FF0000"/>
                <w:sz w:val="19"/>
                <w:szCs w:val="19"/>
              </w:rPr>
            </w:pPr>
            <w:r w:rsidRPr="00A64E6A">
              <w:rPr>
                <w:b/>
                <w:color w:val="FF0000"/>
                <w:sz w:val="19"/>
                <w:szCs w:val="19"/>
              </w:rPr>
              <w:t>žiadosť o úhradu</w:t>
            </w:r>
            <w:r w:rsidRPr="00A64E6A">
              <w:rPr>
                <w:color w:val="FF0000"/>
                <w:sz w:val="19"/>
                <w:szCs w:val="19"/>
              </w:rPr>
              <w:t xml:space="preserve"> príspevku na rekvalifikáciu,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color w:val="FF0000"/>
                <w:sz w:val="19"/>
                <w:szCs w:val="19"/>
              </w:rPr>
            </w:pPr>
            <w:r w:rsidRPr="00A64E6A">
              <w:rPr>
                <w:b/>
                <w:color w:val="FF0000"/>
                <w:sz w:val="19"/>
                <w:szCs w:val="19"/>
              </w:rPr>
              <w:t xml:space="preserve">splnomocnenie </w:t>
            </w:r>
            <w:r w:rsidRPr="00A64E6A">
              <w:rPr>
                <w:color w:val="FF0000"/>
                <w:sz w:val="19"/>
                <w:szCs w:val="19"/>
              </w:rPr>
              <w:t>k úhrade príspevku na rekvalifikáciu poskytovateľovi rekvalifikácie.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ind w:left="360"/>
              <w:jc w:val="both"/>
              <w:rPr>
                <w:b/>
                <w:color w:val="17365D"/>
                <w:sz w:val="19"/>
                <w:szCs w:val="19"/>
              </w:rPr>
            </w:pPr>
            <w:r w:rsidRPr="00A64E6A">
              <w:rPr>
                <w:b/>
                <w:color w:val="17365D"/>
                <w:sz w:val="19"/>
                <w:szCs w:val="19"/>
              </w:rPr>
              <w:t xml:space="preserve">Úrad práce, sociálnych vecí a rodiny na základe splnomocnenia </w:t>
            </w:r>
            <w:r w:rsidRPr="00A64E6A">
              <w:rPr>
                <w:color w:val="17365D"/>
                <w:sz w:val="19"/>
                <w:szCs w:val="19"/>
              </w:rPr>
              <w:t>od uchádzača o zamestnanie</w:t>
            </w:r>
            <w:r w:rsidRPr="00A64E6A">
              <w:rPr>
                <w:b/>
                <w:color w:val="17365D"/>
                <w:sz w:val="19"/>
                <w:szCs w:val="19"/>
              </w:rPr>
              <w:t xml:space="preserve"> uhradí priamo </w:t>
            </w:r>
            <w:r w:rsidRPr="00A64E6A">
              <w:rPr>
                <w:color w:val="17365D"/>
                <w:sz w:val="19"/>
                <w:szCs w:val="19"/>
              </w:rPr>
              <w:t>poskytovateľovi rekvalifikácie</w:t>
            </w:r>
            <w:r w:rsidRPr="00A64E6A">
              <w:rPr>
                <w:b/>
                <w:color w:val="17365D"/>
                <w:sz w:val="19"/>
                <w:szCs w:val="19"/>
              </w:rPr>
              <w:t xml:space="preserve"> príspevok za absolvovanú rekvalifikáciu</w:t>
            </w:r>
            <w:r w:rsidRPr="00A64E6A">
              <w:rPr>
                <w:color w:val="17365D"/>
                <w:sz w:val="19"/>
                <w:szCs w:val="19"/>
              </w:rPr>
              <w:t xml:space="preserve"> len v prípade, </w:t>
            </w:r>
            <w:r w:rsidRPr="00A64E6A">
              <w:rPr>
                <w:b/>
                <w:color w:val="17365D"/>
                <w:sz w:val="19"/>
                <w:szCs w:val="19"/>
              </w:rPr>
              <w:t>ak uchádzač o zamestnanie: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color w:val="17365D"/>
                <w:sz w:val="19"/>
                <w:szCs w:val="19"/>
              </w:rPr>
            </w:pPr>
            <w:r w:rsidRPr="00A64E6A">
              <w:rPr>
                <w:b/>
                <w:color w:val="17365D"/>
                <w:sz w:val="19"/>
                <w:szCs w:val="19"/>
              </w:rPr>
              <w:t>nebude</w:t>
            </w:r>
            <w:r w:rsidRPr="00A64E6A">
              <w:rPr>
                <w:color w:val="17365D"/>
                <w:sz w:val="19"/>
                <w:szCs w:val="19"/>
              </w:rPr>
              <w:t xml:space="preserve"> počas trvania rekvalifikácie </w:t>
            </w:r>
            <w:r w:rsidRPr="00A64E6A">
              <w:rPr>
                <w:b/>
                <w:color w:val="17365D"/>
                <w:sz w:val="19"/>
                <w:szCs w:val="19"/>
              </w:rPr>
              <w:t>vyradený z evidencie uchádzačov o zamestnanie</w:t>
            </w:r>
            <w:r w:rsidRPr="00A64E6A">
              <w:rPr>
                <w:b/>
                <w:color w:val="00B050"/>
                <w:sz w:val="19"/>
                <w:szCs w:val="19"/>
              </w:rPr>
              <w:t xml:space="preserve"> </w:t>
            </w:r>
            <w:r w:rsidRPr="00A64E6A">
              <w:rPr>
                <w:b/>
                <w:color w:val="17365D"/>
                <w:sz w:val="19"/>
                <w:szCs w:val="19"/>
              </w:rPr>
              <w:t>pre nespoluprácu</w:t>
            </w:r>
            <w:r w:rsidRPr="00A64E6A">
              <w:rPr>
                <w:color w:val="17365D"/>
                <w:sz w:val="19"/>
                <w:szCs w:val="19"/>
              </w:rPr>
              <w:t>,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b/>
                <w:color w:val="17365D"/>
                <w:sz w:val="19"/>
                <w:szCs w:val="19"/>
              </w:rPr>
            </w:pPr>
            <w:r w:rsidRPr="00A64E6A">
              <w:rPr>
                <w:b/>
                <w:color w:val="17365D"/>
                <w:sz w:val="19"/>
                <w:szCs w:val="19"/>
              </w:rPr>
              <w:t>úspešne ukončí rekvalifikáciu,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color w:val="17365D"/>
                <w:sz w:val="19"/>
                <w:szCs w:val="19"/>
              </w:rPr>
            </w:pPr>
            <w:r w:rsidRPr="00A64E6A">
              <w:rPr>
                <w:color w:val="17365D"/>
                <w:sz w:val="19"/>
                <w:szCs w:val="19"/>
              </w:rPr>
              <w:t>predloží úradu práce, sociálnych vecí a rodiny požadované doklady v stanovenom termíne.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ind w:left="360"/>
              <w:jc w:val="both"/>
              <w:rPr>
                <w:color w:val="FF0000"/>
                <w:sz w:val="19"/>
                <w:szCs w:val="19"/>
              </w:rPr>
            </w:pPr>
            <w:r w:rsidRPr="00A64E6A">
              <w:rPr>
                <w:color w:val="FF0000"/>
                <w:sz w:val="19"/>
                <w:szCs w:val="19"/>
              </w:rPr>
              <w:t xml:space="preserve">Úrad práce, sociálnych vecí a rodiny </w:t>
            </w:r>
            <w:r w:rsidRPr="00A64E6A">
              <w:rPr>
                <w:b/>
                <w:color w:val="FF0000"/>
                <w:sz w:val="19"/>
                <w:szCs w:val="19"/>
              </w:rPr>
              <w:t>uhradí príspevok na rekvalifikáciu</w:t>
            </w:r>
            <w:r w:rsidRPr="00A64E6A">
              <w:rPr>
                <w:color w:val="FF0000"/>
                <w:sz w:val="19"/>
                <w:szCs w:val="19"/>
              </w:rPr>
              <w:t xml:space="preserve"> </w:t>
            </w:r>
            <w:r w:rsidRPr="00A64E6A">
              <w:rPr>
                <w:b/>
                <w:color w:val="FF0000"/>
                <w:sz w:val="19"/>
                <w:szCs w:val="19"/>
              </w:rPr>
              <w:t xml:space="preserve">v alikvotnej výške </w:t>
            </w:r>
            <w:r w:rsidRPr="00A64E6A">
              <w:rPr>
                <w:color w:val="FF0000"/>
                <w:sz w:val="19"/>
                <w:szCs w:val="19"/>
              </w:rPr>
              <w:t>za absolvovanú časť rekvalifikácie len v prípade: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color w:val="FF0000"/>
                <w:sz w:val="19"/>
                <w:szCs w:val="19"/>
              </w:rPr>
            </w:pPr>
            <w:r w:rsidRPr="00A64E6A">
              <w:rPr>
                <w:b/>
                <w:color w:val="FF0000"/>
                <w:sz w:val="19"/>
                <w:szCs w:val="19"/>
              </w:rPr>
              <w:t>ak uchádzač o zamestnanie nedokončí vybranú rekvalifikáciu z vážnych dôvodov</w:t>
            </w:r>
            <w:r w:rsidRPr="00A64E6A">
              <w:rPr>
                <w:color w:val="FF0000"/>
                <w:sz w:val="19"/>
                <w:szCs w:val="19"/>
              </w:rPr>
              <w:t xml:space="preserve"> (zdravotných, rodinných alebo osobných dôvodov) - vážnosť dôvodov posudzuje úrad práce, sociálnych vecí a rodiny.</w:t>
            </w:r>
          </w:p>
          <w:p w:rsidR="00455F62" w:rsidRPr="00A64E6A" w:rsidRDefault="00455F62" w:rsidP="00A64E6A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ind w:left="360"/>
              <w:jc w:val="both"/>
              <w:rPr>
                <w:b/>
                <w:color w:val="17365D"/>
                <w:sz w:val="19"/>
                <w:szCs w:val="19"/>
              </w:rPr>
            </w:pPr>
            <w:r w:rsidRPr="00A64E6A">
              <w:rPr>
                <w:color w:val="17365D"/>
                <w:sz w:val="19"/>
                <w:szCs w:val="19"/>
              </w:rPr>
              <w:t xml:space="preserve">Úrad práce, sociálnych vecí a rodiny </w:t>
            </w:r>
            <w:r w:rsidRPr="00A64E6A">
              <w:rPr>
                <w:b/>
                <w:color w:val="17365D"/>
                <w:sz w:val="19"/>
                <w:szCs w:val="19"/>
              </w:rPr>
              <w:t>neuhradí</w:t>
            </w:r>
            <w:r w:rsidRPr="00A64E6A">
              <w:rPr>
                <w:color w:val="17365D"/>
                <w:sz w:val="19"/>
                <w:szCs w:val="19"/>
              </w:rPr>
              <w:t xml:space="preserve"> </w:t>
            </w:r>
            <w:r w:rsidRPr="00A64E6A">
              <w:rPr>
                <w:b/>
                <w:color w:val="17365D"/>
                <w:sz w:val="19"/>
                <w:szCs w:val="19"/>
              </w:rPr>
              <w:t>príspevok na rekvalifikáciu, ak uchádzač o zamestnanie: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b/>
                <w:color w:val="17365D"/>
                <w:sz w:val="19"/>
                <w:szCs w:val="19"/>
              </w:rPr>
            </w:pPr>
            <w:r w:rsidRPr="00A64E6A">
              <w:rPr>
                <w:b/>
                <w:color w:val="17365D"/>
                <w:sz w:val="19"/>
                <w:szCs w:val="19"/>
              </w:rPr>
              <w:t>bol počas doby realizácie rekvalifikácie vyradený  z evidencie pre nespoluprácu,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b/>
                <w:color w:val="17365D"/>
                <w:sz w:val="19"/>
                <w:szCs w:val="19"/>
              </w:rPr>
            </w:pPr>
            <w:r w:rsidRPr="00A64E6A">
              <w:rPr>
                <w:b/>
                <w:color w:val="17365D"/>
                <w:sz w:val="19"/>
                <w:szCs w:val="19"/>
              </w:rPr>
              <w:t>predčasne ukončil rekvalifikáciu bez vážnych dôvodov</w:t>
            </w:r>
            <w:r w:rsidRPr="00A64E6A">
              <w:rPr>
                <w:color w:val="17365D"/>
                <w:sz w:val="19"/>
                <w:szCs w:val="19"/>
              </w:rPr>
              <w:t>,</w:t>
            </w:r>
          </w:p>
          <w:p w:rsidR="00455F62" w:rsidRPr="00A64E6A" w:rsidRDefault="00455F62" w:rsidP="00A64E6A">
            <w:pPr>
              <w:pStyle w:val="ListParagraph"/>
              <w:numPr>
                <w:ilvl w:val="1"/>
                <w:numId w:val="17"/>
              </w:numPr>
              <w:spacing w:after="0" w:line="264" w:lineRule="auto"/>
              <w:ind w:left="720"/>
              <w:jc w:val="both"/>
              <w:rPr>
                <w:b/>
                <w:color w:val="FF0000"/>
                <w:sz w:val="19"/>
                <w:szCs w:val="19"/>
              </w:rPr>
            </w:pPr>
            <w:r w:rsidRPr="00A64E6A">
              <w:rPr>
                <w:b/>
                <w:color w:val="17365D"/>
                <w:sz w:val="19"/>
                <w:szCs w:val="19"/>
              </w:rPr>
              <w:t>nepredložil v stanovenom termíne všetky požadované doklady.</w:t>
            </w:r>
          </w:p>
        </w:tc>
      </w:tr>
      <w:tr w:rsidR="00455F62" w:rsidRPr="00A64E6A" w:rsidTr="00A64E6A">
        <w:trPr>
          <w:trHeight w:val="679"/>
          <w:jc w:val="center"/>
        </w:trPr>
        <w:tc>
          <w:tcPr>
            <w:tcW w:w="9533" w:type="dxa"/>
            <w:gridSpan w:val="2"/>
            <w:shd w:val="clear" w:color="auto" w:fill="B6DDE8"/>
            <w:noWrap/>
            <w:vAlign w:val="center"/>
          </w:tcPr>
          <w:p w:rsidR="00455F62" w:rsidRPr="00A64E6A" w:rsidRDefault="00455F62" w:rsidP="00A64E6A">
            <w:pPr>
              <w:spacing w:after="0" w:line="240" w:lineRule="auto"/>
              <w:ind w:right="-142"/>
              <w:jc w:val="center"/>
              <w:rPr>
                <w:rFonts w:cs="Microsoft Sans Serif"/>
                <w:b/>
                <w:color w:val="FF0000"/>
                <w:sz w:val="8"/>
                <w:szCs w:val="4"/>
              </w:rPr>
            </w:pPr>
          </w:p>
          <w:p w:rsidR="00455F62" w:rsidRPr="00A64E6A" w:rsidRDefault="00455F62" w:rsidP="00A64E6A">
            <w:pPr>
              <w:spacing w:after="0" w:line="240" w:lineRule="auto"/>
              <w:ind w:right="-142"/>
              <w:jc w:val="center"/>
              <w:rPr>
                <w:rFonts w:cs="Microsoft Sans Serif"/>
                <w:b/>
                <w:color w:val="FF0000"/>
                <w:sz w:val="28"/>
              </w:rPr>
            </w:pPr>
            <w:r w:rsidRPr="00A64E6A">
              <w:rPr>
                <w:rFonts w:cs="Microsoft Sans Serif"/>
                <w:b/>
                <w:color w:val="FF0000"/>
                <w:sz w:val="28"/>
              </w:rPr>
              <w:t xml:space="preserve">Ak ste uchádzač o zamestnanie a máte záujem o  rekvalifikáciu,  </w:t>
            </w:r>
          </w:p>
          <w:p w:rsidR="00455F62" w:rsidRPr="00A64E6A" w:rsidRDefault="00455F62" w:rsidP="00A64E6A">
            <w:pPr>
              <w:spacing w:after="0" w:line="240" w:lineRule="auto"/>
              <w:ind w:right="-142"/>
              <w:jc w:val="center"/>
              <w:rPr>
                <w:rFonts w:cs="Microsoft Sans Serif"/>
                <w:b/>
                <w:color w:val="FF0000"/>
                <w:sz w:val="28"/>
              </w:rPr>
            </w:pPr>
            <w:r w:rsidRPr="00A64E6A">
              <w:rPr>
                <w:rFonts w:cs="Microsoft Sans Serif"/>
                <w:b/>
                <w:color w:val="FF0000"/>
                <w:sz w:val="28"/>
              </w:rPr>
              <w:t>kontaktujte úrad práce, sociálnych vecí a rodiny</w:t>
            </w:r>
          </w:p>
          <w:p w:rsidR="00455F62" w:rsidRPr="00A64E6A" w:rsidRDefault="00455F62" w:rsidP="00A64E6A">
            <w:pPr>
              <w:spacing w:after="0" w:line="240" w:lineRule="auto"/>
              <w:ind w:right="-142"/>
              <w:jc w:val="center"/>
              <w:rPr>
                <w:rFonts w:cs="Microsoft Sans Serif"/>
                <w:b/>
                <w:color w:val="FF0000"/>
                <w:sz w:val="2"/>
                <w:szCs w:val="4"/>
              </w:rPr>
            </w:pPr>
          </w:p>
          <w:p w:rsidR="00455F62" w:rsidRPr="00A64E6A" w:rsidRDefault="00455F62" w:rsidP="00A64E6A">
            <w:pPr>
              <w:spacing w:after="0" w:line="240" w:lineRule="auto"/>
              <w:ind w:right="-142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</w:tbl>
    <w:p w:rsidR="00455F62" w:rsidRPr="006A38A3" w:rsidRDefault="00455F62" w:rsidP="006A38A3">
      <w:pPr>
        <w:tabs>
          <w:tab w:val="left" w:pos="2304"/>
        </w:tabs>
        <w:rPr>
          <w:rFonts w:ascii="Times New Roman" w:hAnsi="Times New Roman"/>
          <w:sz w:val="28"/>
          <w:szCs w:val="28"/>
        </w:rPr>
      </w:pPr>
    </w:p>
    <w:sectPr w:rsidR="00455F62" w:rsidRPr="006A38A3" w:rsidSect="00826B16">
      <w:headerReference w:type="default" r:id="rId8"/>
      <w:pgSz w:w="11906" w:h="16838"/>
      <w:pgMar w:top="56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62" w:rsidRDefault="00455F62" w:rsidP="004B50C7">
      <w:pPr>
        <w:spacing w:after="0" w:line="240" w:lineRule="auto"/>
      </w:pPr>
      <w:r>
        <w:separator/>
      </w:r>
    </w:p>
  </w:endnote>
  <w:endnote w:type="continuationSeparator" w:id="0">
    <w:p w:rsidR="00455F62" w:rsidRDefault="00455F62" w:rsidP="004B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62" w:rsidRDefault="00455F62" w:rsidP="004B50C7">
      <w:pPr>
        <w:spacing w:after="0" w:line="240" w:lineRule="auto"/>
      </w:pPr>
      <w:r>
        <w:separator/>
      </w:r>
    </w:p>
  </w:footnote>
  <w:footnote w:type="continuationSeparator" w:id="0">
    <w:p w:rsidR="00455F62" w:rsidRDefault="00455F62" w:rsidP="004B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62" w:rsidRPr="00970CCC" w:rsidRDefault="00455F62" w:rsidP="00970CCC">
    <w:pPr>
      <w:pStyle w:val="Header"/>
      <w:tabs>
        <w:tab w:val="clear" w:pos="4536"/>
        <w:tab w:val="center" w:pos="9072"/>
      </w:tabs>
      <w:jc w:val="right"/>
      <w:rPr>
        <w:rFonts w:ascii="Times New Roman" w:hAnsi="Times New Roman"/>
        <w:color w:val="7F7F7F"/>
        <w:sz w:val="16"/>
        <w:szCs w:val="16"/>
      </w:rPr>
    </w:pPr>
  </w:p>
  <w:p w:rsidR="00455F62" w:rsidRDefault="00455F62" w:rsidP="00B20334">
    <w:pPr>
      <w:pStyle w:val="Header"/>
      <w:tabs>
        <w:tab w:val="clear" w:pos="4536"/>
        <w:tab w:val="center" w:pos="9072"/>
      </w:tabs>
      <w:jc w:val="center"/>
    </w:pPr>
  </w:p>
  <w:p w:rsidR="00455F62" w:rsidRDefault="00455F62" w:rsidP="00B20334">
    <w:pPr>
      <w:pStyle w:val="Header"/>
      <w:tabs>
        <w:tab w:val="clear" w:pos="4536"/>
        <w:tab w:val="center" w:pos="9072"/>
      </w:tabs>
      <w:jc w:val="center"/>
    </w:pPr>
  </w:p>
  <w:p w:rsidR="00455F62" w:rsidRDefault="00455F62" w:rsidP="00B20334">
    <w:pPr>
      <w:pStyle w:val="Header"/>
      <w:tabs>
        <w:tab w:val="clear" w:pos="4536"/>
        <w:tab w:val="center" w:pos="9072"/>
      </w:tabs>
      <w:jc w:val="center"/>
      <w:rPr>
        <w:sz w:val="4"/>
        <w:szCs w:val="4"/>
      </w:rPr>
    </w:pPr>
  </w:p>
  <w:p w:rsidR="00455F62" w:rsidRDefault="00455F62" w:rsidP="00B20334">
    <w:pPr>
      <w:pStyle w:val="Header"/>
      <w:tabs>
        <w:tab w:val="clear" w:pos="4536"/>
        <w:tab w:val="center" w:pos="9072"/>
      </w:tabs>
      <w:jc w:val="center"/>
      <w:rPr>
        <w:sz w:val="4"/>
        <w:szCs w:val="4"/>
      </w:rPr>
    </w:pPr>
  </w:p>
  <w:p w:rsidR="00455F62" w:rsidRDefault="00455F62" w:rsidP="00B20334">
    <w:pPr>
      <w:pStyle w:val="Header"/>
      <w:tabs>
        <w:tab w:val="clear" w:pos="4536"/>
        <w:tab w:val="center" w:pos="9072"/>
      </w:tabs>
      <w:jc w:val="center"/>
      <w:rPr>
        <w:sz w:val="4"/>
        <w:szCs w:val="4"/>
      </w:rPr>
    </w:pPr>
  </w:p>
  <w:p w:rsidR="00455F62" w:rsidRDefault="00455F62" w:rsidP="00B20334">
    <w:pPr>
      <w:pStyle w:val="Header"/>
      <w:tabs>
        <w:tab w:val="clear" w:pos="4536"/>
        <w:tab w:val="center" w:pos="9072"/>
      </w:tabs>
      <w:jc w:val="center"/>
      <w:rPr>
        <w:sz w:val="4"/>
        <w:szCs w:val="4"/>
      </w:rPr>
    </w:pPr>
  </w:p>
  <w:p w:rsidR="00455F62" w:rsidRDefault="00455F62" w:rsidP="00B20334">
    <w:pPr>
      <w:pStyle w:val="Header"/>
      <w:tabs>
        <w:tab w:val="clear" w:pos="4536"/>
        <w:tab w:val="center" w:pos="9072"/>
      </w:tabs>
      <w:jc w:val="center"/>
      <w:rPr>
        <w:sz w:val="4"/>
        <w:szCs w:val="4"/>
      </w:rPr>
    </w:pPr>
  </w:p>
  <w:p w:rsidR="00455F62" w:rsidRPr="00C66D62" w:rsidRDefault="00455F62" w:rsidP="00B20334">
    <w:pPr>
      <w:pStyle w:val="Header"/>
      <w:tabs>
        <w:tab w:val="clear" w:pos="4536"/>
        <w:tab w:val="center" w:pos="9072"/>
      </w:tabs>
      <w:jc w:val="cent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981"/>
    <w:multiLevelType w:val="hybridMultilevel"/>
    <w:tmpl w:val="1D7C8748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5EF2CD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5EF2CD32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31BAE"/>
    <w:multiLevelType w:val="hybridMultilevel"/>
    <w:tmpl w:val="106AF1E4"/>
    <w:lvl w:ilvl="0" w:tplc="512C6C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17365D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C02363"/>
    <w:multiLevelType w:val="hybridMultilevel"/>
    <w:tmpl w:val="7116D5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5112E"/>
    <w:multiLevelType w:val="hybridMultilevel"/>
    <w:tmpl w:val="B4B0778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05E46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5EF2CD32">
      <w:start w:val="1"/>
      <w:numFmt w:val="bullet"/>
      <w:lvlText w:val=""/>
      <w:lvlJc w:val="left"/>
      <w:pPr>
        <w:ind w:left="180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DE446A"/>
    <w:multiLevelType w:val="hybridMultilevel"/>
    <w:tmpl w:val="961E832E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A793B"/>
    <w:multiLevelType w:val="hybridMultilevel"/>
    <w:tmpl w:val="2FD8E86C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A61754"/>
    <w:multiLevelType w:val="hybridMultilevel"/>
    <w:tmpl w:val="35AC6DD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05E46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1566D51"/>
    <w:multiLevelType w:val="hybridMultilevel"/>
    <w:tmpl w:val="036CB934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9">
    <w:nsid w:val="361B6A8D"/>
    <w:multiLevelType w:val="hybridMultilevel"/>
    <w:tmpl w:val="DF4C23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191C01"/>
    <w:multiLevelType w:val="hybridMultilevel"/>
    <w:tmpl w:val="31F620F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2F64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433F82"/>
    <w:multiLevelType w:val="hybridMultilevel"/>
    <w:tmpl w:val="5C1E750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E96AD5"/>
    <w:multiLevelType w:val="hybridMultilevel"/>
    <w:tmpl w:val="84D2CF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C664AA"/>
    <w:multiLevelType w:val="hybridMultilevel"/>
    <w:tmpl w:val="157487AC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570F1163"/>
    <w:multiLevelType w:val="hybridMultilevel"/>
    <w:tmpl w:val="85EC4A1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AED7929"/>
    <w:multiLevelType w:val="hybridMultilevel"/>
    <w:tmpl w:val="B61012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F2CD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5EF2CD32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07360"/>
    <w:multiLevelType w:val="hybridMultilevel"/>
    <w:tmpl w:val="1F183982"/>
    <w:lvl w:ilvl="0" w:tplc="A062817E">
      <w:start w:val="1"/>
      <w:numFmt w:val="bullet"/>
      <w:lvlText w:val="–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FC717C6"/>
    <w:multiLevelType w:val="hybridMultilevel"/>
    <w:tmpl w:val="DA9AFAD8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2FC25FA"/>
    <w:multiLevelType w:val="hybridMultilevel"/>
    <w:tmpl w:val="5054FD04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56F94"/>
    <w:multiLevelType w:val="hybridMultilevel"/>
    <w:tmpl w:val="90523048"/>
    <w:lvl w:ilvl="0" w:tplc="041B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0">
    <w:nsid w:val="6CC0497E"/>
    <w:multiLevelType w:val="hybridMultilevel"/>
    <w:tmpl w:val="3A149618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C394E"/>
    <w:multiLevelType w:val="hybridMultilevel"/>
    <w:tmpl w:val="390E591C"/>
    <w:lvl w:ilvl="0" w:tplc="C05E46F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4751CA"/>
    <w:multiLevelType w:val="hybridMultilevel"/>
    <w:tmpl w:val="F53E0AB2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B0188"/>
    <w:multiLevelType w:val="hybridMultilevel"/>
    <w:tmpl w:val="D94CE3DC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</w:num>
  <w:num w:numId="4">
    <w:abstractNumId w:val="17"/>
  </w:num>
  <w:num w:numId="5">
    <w:abstractNumId w:val="13"/>
  </w:num>
  <w:num w:numId="6">
    <w:abstractNumId w:val="11"/>
  </w:num>
  <w:num w:numId="7">
    <w:abstractNumId w:val="7"/>
  </w:num>
  <w:num w:numId="8">
    <w:abstractNumId w:val="19"/>
  </w:num>
  <w:num w:numId="9">
    <w:abstractNumId w:val="14"/>
  </w:num>
  <w:num w:numId="10">
    <w:abstractNumId w:val="1"/>
  </w:num>
  <w:num w:numId="11">
    <w:abstractNumId w:val="12"/>
  </w:num>
  <w:num w:numId="12">
    <w:abstractNumId w:val="21"/>
  </w:num>
  <w:num w:numId="13">
    <w:abstractNumId w:val="3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5"/>
  </w:num>
  <w:num w:numId="19">
    <w:abstractNumId w:val="22"/>
  </w:num>
  <w:num w:numId="20">
    <w:abstractNumId w:val="4"/>
  </w:num>
  <w:num w:numId="21">
    <w:abstractNumId w:val="20"/>
  </w:num>
  <w:num w:numId="22">
    <w:abstractNumId w:val="9"/>
  </w:num>
  <w:num w:numId="23">
    <w:abstractNumId w:val="23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D8A"/>
    <w:rsid w:val="00003DCF"/>
    <w:rsid w:val="00007866"/>
    <w:rsid w:val="00031D8A"/>
    <w:rsid w:val="00032D96"/>
    <w:rsid w:val="000565C6"/>
    <w:rsid w:val="000A1B73"/>
    <w:rsid w:val="000A1F57"/>
    <w:rsid w:val="000A51CA"/>
    <w:rsid w:val="000B0F36"/>
    <w:rsid w:val="000B79A6"/>
    <w:rsid w:val="000D20C8"/>
    <w:rsid w:val="001009BB"/>
    <w:rsid w:val="00111BDE"/>
    <w:rsid w:val="00117ADB"/>
    <w:rsid w:val="001533B4"/>
    <w:rsid w:val="00164B16"/>
    <w:rsid w:val="00183340"/>
    <w:rsid w:val="00183D21"/>
    <w:rsid w:val="00186C26"/>
    <w:rsid w:val="001A52B2"/>
    <w:rsid w:val="001B58B9"/>
    <w:rsid w:val="001C5C91"/>
    <w:rsid w:val="001D5930"/>
    <w:rsid w:val="001F2061"/>
    <w:rsid w:val="00200CCE"/>
    <w:rsid w:val="0023372F"/>
    <w:rsid w:val="00252C75"/>
    <w:rsid w:val="00265B13"/>
    <w:rsid w:val="00281DEE"/>
    <w:rsid w:val="002B1230"/>
    <w:rsid w:val="002B490C"/>
    <w:rsid w:val="002B5BC0"/>
    <w:rsid w:val="002E191A"/>
    <w:rsid w:val="002E3A3E"/>
    <w:rsid w:val="00302496"/>
    <w:rsid w:val="00305BC4"/>
    <w:rsid w:val="00314D25"/>
    <w:rsid w:val="00323D67"/>
    <w:rsid w:val="0034190B"/>
    <w:rsid w:val="003802AF"/>
    <w:rsid w:val="003B09B6"/>
    <w:rsid w:val="003C28B2"/>
    <w:rsid w:val="003C44DF"/>
    <w:rsid w:val="003D0003"/>
    <w:rsid w:val="003D244D"/>
    <w:rsid w:val="003D4099"/>
    <w:rsid w:val="003D50E2"/>
    <w:rsid w:val="003E3441"/>
    <w:rsid w:val="00401989"/>
    <w:rsid w:val="0040684C"/>
    <w:rsid w:val="00411EAE"/>
    <w:rsid w:val="00422CB7"/>
    <w:rsid w:val="00455F62"/>
    <w:rsid w:val="0045650E"/>
    <w:rsid w:val="004567DA"/>
    <w:rsid w:val="004718E7"/>
    <w:rsid w:val="00473D01"/>
    <w:rsid w:val="00474344"/>
    <w:rsid w:val="00494579"/>
    <w:rsid w:val="0049499F"/>
    <w:rsid w:val="004B46E5"/>
    <w:rsid w:val="004B50C7"/>
    <w:rsid w:val="004D1012"/>
    <w:rsid w:val="004E4F6C"/>
    <w:rsid w:val="00513DBB"/>
    <w:rsid w:val="00535996"/>
    <w:rsid w:val="00572729"/>
    <w:rsid w:val="005731E5"/>
    <w:rsid w:val="00590A55"/>
    <w:rsid w:val="00595C0F"/>
    <w:rsid w:val="00596599"/>
    <w:rsid w:val="005A52D6"/>
    <w:rsid w:val="005C49A5"/>
    <w:rsid w:val="005D23C5"/>
    <w:rsid w:val="005E1022"/>
    <w:rsid w:val="005E1660"/>
    <w:rsid w:val="005F2FDC"/>
    <w:rsid w:val="006001AA"/>
    <w:rsid w:val="006036FC"/>
    <w:rsid w:val="00612EE3"/>
    <w:rsid w:val="0062235E"/>
    <w:rsid w:val="00630544"/>
    <w:rsid w:val="00642D3B"/>
    <w:rsid w:val="00667848"/>
    <w:rsid w:val="00692207"/>
    <w:rsid w:val="006A38A3"/>
    <w:rsid w:val="006A76F0"/>
    <w:rsid w:val="006B0D89"/>
    <w:rsid w:val="006B7761"/>
    <w:rsid w:val="006C33DC"/>
    <w:rsid w:val="006C5101"/>
    <w:rsid w:val="006D3868"/>
    <w:rsid w:val="0072308F"/>
    <w:rsid w:val="007261EA"/>
    <w:rsid w:val="00726472"/>
    <w:rsid w:val="007265C3"/>
    <w:rsid w:val="007626B9"/>
    <w:rsid w:val="00774284"/>
    <w:rsid w:val="00791AD5"/>
    <w:rsid w:val="00793DA2"/>
    <w:rsid w:val="00794F40"/>
    <w:rsid w:val="007C47F9"/>
    <w:rsid w:val="007D2430"/>
    <w:rsid w:val="007E0163"/>
    <w:rsid w:val="007F71BE"/>
    <w:rsid w:val="007F7839"/>
    <w:rsid w:val="00803BFF"/>
    <w:rsid w:val="00821ADE"/>
    <w:rsid w:val="00826B16"/>
    <w:rsid w:val="00856D89"/>
    <w:rsid w:val="00857C98"/>
    <w:rsid w:val="0088244D"/>
    <w:rsid w:val="008A0711"/>
    <w:rsid w:val="008D4AF1"/>
    <w:rsid w:val="008D7FBB"/>
    <w:rsid w:val="008F63D2"/>
    <w:rsid w:val="009023CF"/>
    <w:rsid w:val="00913D9F"/>
    <w:rsid w:val="00923BD7"/>
    <w:rsid w:val="00932A91"/>
    <w:rsid w:val="009336E2"/>
    <w:rsid w:val="00935321"/>
    <w:rsid w:val="00940AD0"/>
    <w:rsid w:val="00942BC0"/>
    <w:rsid w:val="00970CCC"/>
    <w:rsid w:val="00970EAC"/>
    <w:rsid w:val="00992433"/>
    <w:rsid w:val="009A40DD"/>
    <w:rsid w:val="009D7BE7"/>
    <w:rsid w:val="00A03157"/>
    <w:rsid w:val="00A11E70"/>
    <w:rsid w:val="00A14376"/>
    <w:rsid w:val="00A1600B"/>
    <w:rsid w:val="00A2230A"/>
    <w:rsid w:val="00A371B9"/>
    <w:rsid w:val="00A42A60"/>
    <w:rsid w:val="00A55ADC"/>
    <w:rsid w:val="00A64E6A"/>
    <w:rsid w:val="00A65041"/>
    <w:rsid w:val="00A92971"/>
    <w:rsid w:val="00AA2B89"/>
    <w:rsid w:val="00AB10BD"/>
    <w:rsid w:val="00AB30B6"/>
    <w:rsid w:val="00AC17E8"/>
    <w:rsid w:val="00AC5CDA"/>
    <w:rsid w:val="00AD5E77"/>
    <w:rsid w:val="00B20334"/>
    <w:rsid w:val="00B331AD"/>
    <w:rsid w:val="00B424A0"/>
    <w:rsid w:val="00B42676"/>
    <w:rsid w:val="00B43992"/>
    <w:rsid w:val="00B453FB"/>
    <w:rsid w:val="00B65847"/>
    <w:rsid w:val="00B727CA"/>
    <w:rsid w:val="00B94B6C"/>
    <w:rsid w:val="00BC6A9B"/>
    <w:rsid w:val="00BD2CEA"/>
    <w:rsid w:val="00BD748E"/>
    <w:rsid w:val="00BE4931"/>
    <w:rsid w:val="00BF256F"/>
    <w:rsid w:val="00C11BC7"/>
    <w:rsid w:val="00C176FC"/>
    <w:rsid w:val="00C223F6"/>
    <w:rsid w:val="00C631EF"/>
    <w:rsid w:val="00C66D62"/>
    <w:rsid w:val="00C84B1C"/>
    <w:rsid w:val="00C91903"/>
    <w:rsid w:val="00CE0251"/>
    <w:rsid w:val="00CF77B3"/>
    <w:rsid w:val="00D04364"/>
    <w:rsid w:val="00D12956"/>
    <w:rsid w:val="00D16CCD"/>
    <w:rsid w:val="00D1791A"/>
    <w:rsid w:val="00D310D0"/>
    <w:rsid w:val="00D515B9"/>
    <w:rsid w:val="00D521B1"/>
    <w:rsid w:val="00D7177D"/>
    <w:rsid w:val="00D82033"/>
    <w:rsid w:val="00D93E8E"/>
    <w:rsid w:val="00DB5447"/>
    <w:rsid w:val="00DC1A10"/>
    <w:rsid w:val="00DC395A"/>
    <w:rsid w:val="00DD459F"/>
    <w:rsid w:val="00DE02F0"/>
    <w:rsid w:val="00DF7067"/>
    <w:rsid w:val="00E23922"/>
    <w:rsid w:val="00E25DCA"/>
    <w:rsid w:val="00E438D4"/>
    <w:rsid w:val="00E636E2"/>
    <w:rsid w:val="00E67AFC"/>
    <w:rsid w:val="00E718E0"/>
    <w:rsid w:val="00E8005B"/>
    <w:rsid w:val="00EA0013"/>
    <w:rsid w:val="00EA54E2"/>
    <w:rsid w:val="00EB270E"/>
    <w:rsid w:val="00ED015D"/>
    <w:rsid w:val="00ED3353"/>
    <w:rsid w:val="00F014A0"/>
    <w:rsid w:val="00F0309B"/>
    <w:rsid w:val="00F14B87"/>
    <w:rsid w:val="00F30867"/>
    <w:rsid w:val="00F33F50"/>
    <w:rsid w:val="00F41DFE"/>
    <w:rsid w:val="00F60318"/>
    <w:rsid w:val="00F72AC2"/>
    <w:rsid w:val="00F749DA"/>
    <w:rsid w:val="00F751F5"/>
    <w:rsid w:val="00FC5ED9"/>
    <w:rsid w:val="00FF09CA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7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3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2A91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ListParagraph">
    <w:name w:val="List Paragraph"/>
    <w:aliases w:val="body"/>
    <w:basedOn w:val="Normal"/>
    <w:link w:val="ListParagraphChar"/>
    <w:uiPriority w:val="99"/>
    <w:qFormat/>
    <w:rsid w:val="00793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0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0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1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91A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791AD5"/>
    <w:rPr>
      <w:rFonts w:ascii="Times New Roman" w:hAnsi="Times New Roman" w:cs="Times New Roman"/>
      <w:b/>
      <w:bCs/>
      <w:sz w:val="24"/>
      <w:szCs w:val="24"/>
      <w:lang w:eastAsia="sk-SK"/>
    </w:rPr>
  </w:style>
  <w:style w:type="table" w:styleId="TableGrid">
    <w:name w:val="Table Grid"/>
    <w:basedOn w:val="TableNormal"/>
    <w:uiPriority w:val="99"/>
    <w:rsid w:val="00932A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14D25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body Char"/>
    <w:link w:val="ListParagraph"/>
    <w:uiPriority w:val="99"/>
    <w:locked/>
    <w:rsid w:val="00411EAE"/>
  </w:style>
  <w:style w:type="character" w:styleId="Strong">
    <w:name w:val="Strong"/>
    <w:basedOn w:val="DefaultParagraphFont"/>
    <w:uiPriority w:val="99"/>
    <w:qFormat/>
    <w:rsid w:val="00B20334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B54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5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54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5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5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1158</Words>
  <Characters>6606</Characters>
  <Application>Microsoft Office Outlook</Application>
  <DocSecurity>0</DocSecurity>
  <Lines>0</Lines>
  <Paragraphs>0</Paragraphs>
  <ScaleCrop>false</ScaleCrop>
  <Company>socnet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RE-PAS</dc:title>
  <dc:subject/>
  <dc:creator>UPSVR</dc:creator>
  <cp:keywords/>
  <dc:description/>
  <cp:lastModifiedBy>PC</cp:lastModifiedBy>
  <cp:revision>2</cp:revision>
  <cp:lastPrinted>2017-04-24T11:40:00Z</cp:lastPrinted>
  <dcterms:created xsi:type="dcterms:W3CDTF">2017-05-30T08:28:00Z</dcterms:created>
  <dcterms:modified xsi:type="dcterms:W3CDTF">2017-05-30T08:28:00Z</dcterms:modified>
</cp:coreProperties>
</file>